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pPr>
      <w:r>
        <w:rPr>
          <w:rFonts w:cs="Times New Roman" w:ascii="Times New Roman" w:hAnsi="Times New Roman"/>
          <w:b/>
          <w:bCs/>
          <w:sz w:val="24"/>
          <w:szCs w:val="24"/>
        </w:rPr>
        <w:t xml:space="preserve">Seminar </w:t>
      </w:r>
      <w:r>
        <w:rPr>
          <w:rFonts w:cs="Times New Roman" w:ascii="Times New Roman" w:hAnsi="Times New Roman"/>
          <w:b/>
          <w:bCs/>
          <w:sz w:val="24"/>
          <w:szCs w:val="24"/>
        </w:rPr>
        <w:t>So</w:t>
      </w:r>
      <w:r>
        <w:rPr>
          <w:rFonts w:cs="Times New Roman" w:ascii="Times New Roman" w:hAnsi="Times New Roman"/>
          <w:b/>
          <w:bCs/>
          <w:sz w:val="24"/>
          <w:szCs w:val="24"/>
        </w:rPr>
        <w:t>Se 202</w:t>
      </w:r>
      <w:r>
        <w:rPr>
          <w:rFonts w:cs="Times New Roman" w:ascii="Times New Roman" w:hAnsi="Times New Roman"/>
          <w:b/>
          <w:bCs/>
          <w:sz w:val="24"/>
          <w:szCs w:val="24"/>
        </w:rPr>
        <w:t>4</w:t>
      </w:r>
      <w:r>
        <w:rPr>
          <w:rFonts w:cs="Times New Roman" w:ascii="Times New Roman" w:hAnsi="Times New Roman"/>
          <w:b/>
          <w:bCs/>
          <w:sz w:val="24"/>
          <w:szCs w:val="24"/>
        </w:rPr>
        <w:t>:  Freud und die jüdische Bibel</w:t>
      </w:r>
    </w:p>
    <w:p>
      <w:pPr>
        <w:pStyle w:val="Normal"/>
        <w:bidi w:val="0"/>
        <w:spacing w:lineRule="auto" w:line="240"/>
        <w:jc w:val="center"/>
        <w:rPr>
          <w:rFonts w:ascii="Times New Roman" w:hAnsi="Times New Roman" w:cs="Times New Roman"/>
          <w:sz w:val="24"/>
          <w:szCs w:val="24"/>
        </w:rPr>
      </w:pPr>
      <w:r>
        <w:rPr>
          <w:rFonts w:cs="Times New Roman" w:ascii="Times New Roman" w:hAnsi="Times New Roman"/>
          <w:sz w:val="24"/>
          <w:szCs w:val="24"/>
        </w:rPr>
        <w:t>Institut für Kulturwissenschaft der Humboldt-Universität zu Berlin</w:t>
      </w:r>
    </w:p>
    <w:p>
      <w:pPr>
        <w:pStyle w:val="Normal"/>
        <w:bidi w:val="0"/>
        <w:spacing w:lineRule="auto" w:line="240"/>
        <w:jc w:val="center"/>
        <w:rPr>
          <w:rFonts w:ascii="Times New Roman" w:hAnsi="Times New Roman" w:cs="Times New Roman"/>
          <w:sz w:val="24"/>
          <w:szCs w:val="24"/>
        </w:rPr>
      </w:pPr>
      <w:r>
        <w:rPr>
          <w:rFonts w:cs="Times New Roman" w:ascii="Times New Roman" w:hAnsi="Times New Roman"/>
          <w:sz w:val="24"/>
          <w:szCs w:val="24"/>
        </w:rPr>
        <w:t>Wolfgang Hegener</w:t>
      </w:r>
    </w:p>
    <w:p>
      <w:pPr>
        <w:pStyle w:val="Normal"/>
        <w:bidi w:val="0"/>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jc w:val="both"/>
        <w:rPr>
          <w:rFonts w:ascii="Times New Roman" w:hAnsi="Times New Roman" w:cs="Times New Roman"/>
          <w:b/>
          <w:b/>
          <w:bCs/>
          <w:sz w:val="24"/>
          <w:szCs w:val="24"/>
        </w:rPr>
      </w:pPr>
      <w:r>
        <w:rPr/>
      </w:r>
    </w:p>
    <w:p>
      <w:pPr>
        <w:pStyle w:val="Textkrper"/>
        <w:bidi w:val="0"/>
        <w:spacing w:lineRule="auto" w:line="360"/>
        <w:jc w:val="both"/>
        <w:rPr>
          <w:rFonts w:ascii="Times New Roman" w:hAnsi="Times New Roman"/>
        </w:rPr>
      </w:pPr>
      <w:r>
        <w:rPr>
          <w:rFonts w:ascii="Times New Roman" w:hAnsi="Times New Roman"/>
        </w:rPr>
        <w:t xml:space="preserve">Keinen Text hat Freud in seinen Schriften und Briefen häufiger zitiert als die Jüdische Bibel. Doch mehr noch: Er hat sein geistiges Leben mit der Lektüre der Bibel begonnen – denkt man an die frühe gemeinsame Lektüre mit seinem Vater in der </w:t>
      </w:r>
      <w:r>
        <w:rPr>
          <w:rFonts w:ascii="Times New Roman" w:hAnsi="Times New Roman"/>
          <w:i/>
        </w:rPr>
        <w:t>Philippson-Bibel</w:t>
      </w:r>
      <w:r>
        <w:rPr>
          <w:rFonts w:ascii="Times New Roman" w:hAnsi="Times New Roman"/>
        </w:rPr>
        <w:t xml:space="preserve"> – und sich in seinem testamentarischen Spätwerk </w:t>
      </w:r>
      <w:r>
        <w:rPr>
          <w:rFonts w:ascii="Times New Roman" w:hAnsi="Times New Roman"/>
          <w:i/>
        </w:rPr>
        <w:t>Der Mann Moses und die monotheistische Religion</w:t>
      </w:r>
      <w:r>
        <w:rPr>
          <w:rFonts w:ascii="Times New Roman" w:hAnsi="Times New Roman"/>
        </w:rPr>
        <w:t xml:space="preserve"> am Ende seines Lebens erneut und intensiv mit der jüdischen Schrifttradition auseinandergesetzt. Trotz aller Ambivalenz, seiner Ablehnung der osteuropäischen Herkunft seiner Eltern während seiner Adoleszenz und seines Glaubensverlusts blieb die Jüdische Bibel für Freud ein zentraler Bezugspunkt gerade in krisenhaften Zeiten. Freuds Leben und Werk soll in dieser Veranstaltung als ein permanentes Ringen um eine eigene Position in Reflexion seiner jüdischen Herkunft begreifbar gemacht werden. Es sollen auch bestimmte grundlegende psychoanalytische Konzepte, die für den Zusammenhang dieser Veranstaltung relevant sind (das Unbewusste, Ödipus-Komplext, Theorie des Traums etc.), einführend erläutert werden. Das methodische Vorgehen besteht darin, dass bestimmte Dokumente (vor allem die Einträge von Freuds Vater Jacob in der Familien- bzw. der </w:t>
      </w:r>
      <w:r>
        <w:rPr>
          <w:rFonts w:ascii="Times New Roman" w:hAnsi="Times New Roman"/>
          <w:i/>
        </w:rPr>
        <w:t>Philippson-Bibel</w:t>
      </w:r>
      <w:r>
        <w:rPr>
          <w:rFonts w:ascii="Times New Roman" w:hAnsi="Times New Roman"/>
        </w:rPr>
        <w:t xml:space="preserve">) eingehend untersucht und der Niederschlag seiner intensiven Bibel-Lektüre in seinen Schriften nachvollzogen werden sollen. Die Texte sollen gemeinsam gelesen und erarbeitet werden. Referate und Hausarbeiten sind möglich. </w:t>
      </w:r>
    </w:p>
    <w:p>
      <w:pPr>
        <w:pStyle w:val="Textkrper"/>
        <w:bidi w:val="0"/>
        <w:jc w:val="both"/>
        <w:rPr>
          <w:rFonts w:ascii="Times New Roman" w:hAnsi="Times New Roman"/>
        </w:rPr>
      </w:pPr>
      <w:r>
        <w:rPr>
          <w:rFonts w:ascii="Times New Roman" w:hAnsi="Times New Roman"/>
        </w:rPr>
        <w:t xml:space="preserve">Lektüreempfehlung: Wolfgang Hegener (2023). </w:t>
      </w:r>
      <w:r>
        <w:rPr>
          <w:rFonts w:ascii="Times New Roman" w:hAnsi="Times New Roman"/>
          <w:i/>
        </w:rPr>
        <w:t>Im Anfang war die Schrift. Sigmund Freud und die Jüdische Bibel</w:t>
      </w:r>
      <w:r>
        <w:rPr>
          <w:rFonts w:ascii="Times New Roman" w:hAnsi="Times New Roman"/>
        </w:rPr>
        <w:t xml:space="preserve">. Beiheft 29 zum </w:t>
      </w:r>
      <w:r>
        <w:rPr>
          <w:rFonts w:ascii="Times New Roman" w:hAnsi="Times New Roman"/>
          <w:i/>
        </w:rPr>
        <w:t>Jahrbuch der Psychoanalyse</w:t>
      </w:r>
      <w:r>
        <w:rPr>
          <w:rFonts w:ascii="Times New Roman" w:hAnsi="Times New Roman"/>
        </w:rPr>
        <w:t xml:space="preserve">. Gießen: Psychosozial-Verlag. </w:t>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both"/>
        <w:rPr>
          <w:rFonts w:ascii="Times New Roman" w:hAnsi="Times New Roman" w:cs="Times New Roman"/>
          <w:b/>
          <w:b/>
          <w:bCs/>
          <w:sz w:val="24"/>
          <w:szCs w:val="24"/>
        </w:rPr>
      </w:pPr>
      <w:r>
        <w:rPr>
          <w:rFonts w:ascii="Times New Roman" w:hAnsi="Times New Roman"/>
        </w:rPr>
      </w:r>
    </w:p>
    <w:p>
      <w:pPr>
        <w:pStyle w:val="Textkrper"/>
        <w:bidi w:val="0"/>
        <w:jc w:val="center"/>
        <w:rPr>
          <w:rFonts w:ascii="Times New Roman" w:hAnsi="Times New Roman" w:cs="Times New Roman"/>
          <w:b/>
          <w:b/>
          <w:bCs/>
          <w:sz w:val="24"/>
          <w:szCs w:val="24"/>
        </w:rPr>
      </w:pPr>
      <w:r>
        <w:rPr>
          <w:rFonts w:cs="Times New Roman" w:ascii="Times New Roman" w:hAnsi="Times New Roman"/>
          <w:b/>
          <w:bCs/>
          <w:sz w:val="24"/>
          <w:szCs w:val="24"/>
        </w:rPr>
        <w:t>Seminarplan</w:t>
      </w:r>
    </w:p>
    <w:p>
      <w:pPr>
        <w:pStyle w:val="Textkrper"/>
        <w:bidi w:val="0"/>
        <w:jc w:val="both"/>
        <w:rPr>
          <w:rFonts w:ascii="Times New Roman" w:hAnsi="Times New Roman" w:cs="Times New Roman"/>
          <w:b/>
          <w:b/>
          <w:bCs/>
          <w:sz w:val="24"/>
          <w:szCs w:val="24"/>
        </w:rPr>
      </w:pPr>
      <w:r>
        <w:rPr>
          <w:rFonts w:ascii="Times New Roman" w:hAnsi="Times New Roman"/>
        </w:rPr>
      </w:r>
    </w:p>
    <w:p>
      <w:pPr>
        <w:pStyle w:val="Normal"/>
        <w:bidi w:val="0"/>
        <w:spacing w:lineRule="auto" w:line="240"/>
        <w:ind w:start="0" w:end="0" w:hanging="0"/>
        <w:jc w:val="both"/>
        <w:rPr/>
      </w:pPr>
      <w:r>
        <w:rPr>
          <w:rFonts w:cs="Times New Roman" w:ascii="Times New Roman" w:hAnsi="Times New Roman"/>
          <w:sz w:val="24"/>
          <w:szCs w:val="24"/>
        </w:rPr>
        <w:t>19. April</w:t>
      </w:r>
      <w:r>
        <w:rPr>
          <w:rFonts w:cs="Times New Roman" w:ascii="Times New Roman" w:hAnsi="Times New Roman"/>
          <w:sz w:val="24"/>
          <w:szCs w:val="24"/>
        </w:rPr>
        <w:t xml:space="preserve">: </w:t>
      </w:r>
      <w:r>
        <w:rPr>
          <w:rFonts w:cs="Times New Roman" w:ascii="Times New Roman" w:hAnsi="Times New Roman"/>
          <w:sz w:val="24"/>
          <w:szCs w:val="24"/>
          <w:u w:val="none"/>
        </w:rPr>
        <w:t>Einführung und Organisation</w:t>
      </w:r>
      <w:r>
        <w:rPr>
          <w:rStyle w:val="AbsatzStandardschriftart"/>
          <w:rFonts w:cs="Times New Roman" w:ascii="Times New Roman" w:hAnsi="Times New Roman"/>
          <w:sz w:val="24"/>
          <w:szCs w:val="24"/>
          <w:u w:val="none"/>
        </w:rPr>
        <w:t>. Kurzer einführender Vortrag zum Thema</w:t>
      </w:r>
    </w:p>
    <w:p>
      <w:pPr>
        <w:pStyle w:val="Normal"/>
        <w:bidi w:val="0"/>
        <w:spacing w:lineRule="auto" w:line="240"/>
        <w:ind w:start="0" w:end="0" w:hanging="0"/>
        <w:jc w:val="both"/>
        <w:rPr>
          <w:rFonts w:ascii="Times New Roman" w:hAnsi="Times New Roman" w:cs="Times New Roman"/>
          <w:sz w:val="24"/>
          <w:szCs w:val="24"/>
          <w:u w:val="none"/>
        </w:rPr>
      </w:pPr>
      <w:r>
        <w:rPr/>
      </w:r>
    </w:p>
    <w:p>
      <w:pPr>
        <w:pStyle w:val="Normal"/>
        <w:bidi w:val="0"/>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t>1. Teil: Jüdische Signaturen Jacob Freuds</w:t>
      </w:r>
    </w:p>
    <w:p>
      <w:pPr>
        <w:pStyle w:val="Normal"/>
        <w:bidi w:val="0"/>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240"/>
        <w:jc w:val="both"/>
        <w:rPr>
          <w:rFonts w:ascii="Times New Roman" w:hAnsi="Times New Roman" w:cs="Times New Roman"/>
          <w:sz w:val="24"/>
          <w:szCs w:val="24"/>
          <w:u w:val="none"/>
        </w:rPr>
      </w:pPr>
      <w:r>
        <w:rPr>
          <w:rFonts w:cs="Times New Roman" w:ascii="Times New Roman" w:hAnsi="Times New Roman"/>
          <w:sz w:val="24"/>
          <w:szCs w:val="24"/>
          <w:u w:val="none"/>
        </w:rPr>
        <w:t>26</w:t>
      </w:r>
      <w:r>
        <w:rPr>
          <w:rFonts w:cs="Times New Roman" w:ascii="Times New Roman" w:hAnsi="Times New Roman"/>
          <w:sz w:val="24"/>
          <w:szCs w:val="24"/>
          <w:u w:val="none"/>
        </w:rPr>
        <w:t xml:space="preserve">. </w:t>
      </w:r>
      <w:r>
        <w:rPr>
          <w:rFonts w:cs="Times New Roman" w:ascii="Times New Roman" w:hAnsi="Times New Roman"/>
          <w:sz w:val="24"/>
          <w:szCs w:val="24"/>
          <w:u w:val="none"/>
        </w:rPr>
        <w:t>April</w:t>
      </w:r>
      <w:r>
        <w:rPr>
          <w:rFonts w:cs="Times New Roman" w:ascii="Times New Roman" w:hAnsi="Times New Roman"/>
          <w:sz w:val="24"/>
          <w:szCs w:val="24"/>
          <w:u w:val="none"/>
        </w:rPr>
        <w:t xml:space="preserve"> und </w:t>
      </w:r>
      <w:r>
        <w:rPr>
          <w:rFonts w:cs="Times New Roman" w:ascii="Times New Roman" w:hAnsi="Times New Roman"/>
          <w:sz w:val="24"/>
          <w:szCs w:val="24"/>
          <w:u w:val="none"/>
        </w:rPr>
        <w:t>3. Mai</w:t>
      </w:r>
      <w:r>
        <w:rPr>
          <w:rFonts w:cs="Times New Roman" w:ascii="Times New Roman" w:hAnsi="Times New Roman"/>
          <w:sz w:val="24"/>
          <w:szCs w:val="24"/>
          <w:u w:val="none"/>
        </w:rPr>
        <w:t>: Jacob Freuds frühe Einträge zu Geburt und Beschneidung und erstem Zahnen von Sigismund Freud</w:t>
      </w:r>
    </w:p>
    <w:p>
      <w:pPr>
        <w:pStyle w:val="Normal"/>
        <w:bidi w:val="0"/>
        <w:spacing w:lineRule="auto" w:line="240" w:before="0" w:after="240"/>
        <w:jc w:val="both"/>
        <w:rPr/>
      </w:pPr>
      <w:r>
        <w:rPr>
          <w:rFonts w:cs="Times New Roman" w:ascii="Times New Roman" w:hAnsi="Times New Roman"/>
          <w:sz w:val="24"/>
          <w:szCs w:val="24"/>
          <w:u w:val="none"/>
        </w:rPr>
        <w:t>10. und 17. Mai</w:t>
      </w:r>
      <w:r>
        <w:rPr>
          <w:rFonts w:cs="Times New Roman" w:ascii="Times New Roman" w:hAnsi="Times New Roman"/>
          <w:sz w:val="24"/>
          <w:szCs w:val="24"/>
          <w:u w:val="none"/>
        </w:rPr>
        <w:t>: Das hebräische Widmungsschreiben von Jacob Freud zu Sigmund Freuds 35. Geburtstag</w:t>
      </w:r>
    </w:p>
    <w:p>
      <w:pPr>
        <w:pStyle w:val="Normal"/>
        <w:bidi w:val="0"/>
        <w:spacing w:lineRule="auto" w:line="240" w:before="0" w:after="240"/>
        <w:jc w:val="both"/>
        <w:rPr/>
      </w:pPr>
      <w:r>
        <w:rPr>
          <w:rFonts w:cs="Times New Roman" w:ascii="Times New Roman" w:hAnsi="Times New Roman"/>
          <w:sz w:val="24"/>
          <w:szCs w:val="24"/>
          <w:u w:val="none"/>
        </w:rPr>
        <w:t>24. Mai</w:t>
      </w:r>
      <w:r>
        <w:rPr>
          <w:rFonts w:cs="Times New Roman" w:ascii="Times New Roman" w:hAnsi="Times New Roman"/>
          <w:sz w:val="24"/>
          <w:szCs w:val="24"/>
          <w:u w:val="none"/>
        </w:rPr>
        <w:t>: Jacob Freuds Geburtstagsschreiben an seinen Sohn Alexander Freud</w:t>
      </w:r>
    </w:p>
    <w:p>
      <w:pPr>
        <w:pStyle w:val="Normal"/>
        <w:bidi w:val="0"/>
        <w:spacing w:lineRule="auto" w:line="240" w:before="0" w:after="240"/>
        <w:jc w:val="both"/>
        <w:rPr>
          <w:rFonts w:ascii="Times New Roman" w:hAnsi="Times New Roman" w:cs="Times New Roman"/>
          <w:b/>
          <w:b/>
          <w:bCs/>
          <w:sz w:val="24"/>
          <w:szCs w:val="24"/>
          <w:u w:val="none"/>
        </w:rPr>
      </w:pPr>
      <w:r>
        <w:rPr/>
      </w:r>
    </w:p>
    <w:p>
      <w:pPr>
        <w:pStyle w:val="Normal"/>
        <w:bidi w:val="0"/>
        <w:spacing w:lineRule="auto" w:line="240" w:before="0" w:after="240"/>
        <w:jc w:val="both"/>
        <w:rPr>
          <w:rFonts w:ascii="Times New Roman" w:hAnsi="Times New Roman" w:cs="Times New Roman"/>
          <w:b/>
          <w:b/>
          <w:bCs/>
          <w:sz w:val="24"/>
          <w:szCs w:val="24"/>
          <w:u w:val="none"/>
        </w:rPr>
      </w:pPr>
      <w:r>
        <w:rPr>
          <w:rFonts w:cs="Times New Roman" w:ascii="Times New Roman" w:hAnsi="Times New Roman"/>
          <w:b/>
          <w:bCs/>
          <w:sz w:val="24"/>
          <w:szCs w:val="24"/>
          <w:u w:val="none"/>
        </w:rPr>
        <w:t>2. Teil: Freuds Religionsunterricht</w:t>
      </w:r>
    </w:p>
    <w:p>
      <w:pPr>
        <w:pStyle w:val="Normal"/>
        <w:bidi w:val="0"/>
        <w:spacing w:lineRule="auto" w:line="240" w:before="0" w:after="240"/>
        <w:jc w:val="both"/>
        <w:rPr/>
      </w:pPr>
      <w:r>
        <w:rPr>
          <w:rFonts w:cs="Times New Roman" w:ascii="Times New Roman" w:hAnsi="Times New Roman"/>
          <w:sz w:val="24"/>
          <w:szCs w:val="24"/>
          <w:u w:val="none"/>
        </w:rPr>
        <w:t>31. Mai</w:t>
      </w:r>
      <w:r>
        <w:rPr>
          <w:rFonts w:cs="Times New Roman" w:ascii="Times New Roman" w:hAnsi="Times New Roman"/>
          <w:sz w:val="24"/>
          <w:szCs w:val="24"/>
          <w:u w:val="none"/>
        </w:rPr>
        <w:t xml:space="preserve">: Vortrag und Diskussion zu Freuds Religionsunterricht in der Volksschule und auf dem Gymnasium; </w:t>
      </w:r>
      <w:r>
        <w:rPr>
          <w:rFonts w:cs="Times New Roman" w:ascii="Times New Roman" w:hAnsi="Times New Roman"/>
          <w:sz w:val="24"/>
          <w:szCs w:val="24"/>
          <w:u w:val="none"/>
        </w:rPr>
        <w:t>Materialien / Archivalien zur Diskussion.</w:t>
      </w:r>
    </w:p>
    <w:p>
      <w:pPr>
        <w:pStyle w:val="Normal"/>
        <w:bidi w:val="0"/>
        <w:spacing w:lineRule="auto" w:line="240" w:before="0" w:after="240"/>
        <w:jc w:val="both"/>
        <w:rPr>
          <w:rFonts w:ascii="Times New Roman" w:hAnsi="Times New Roman" w:cs="Times New Roman"/>
          <w:b/>
          <w:b/>
          <w:bCs/>
          <w:sz w:val="24"/>
          <w:szCs w:val="24"/>
          <w:u w:val="none"/>
        </w:rPr>
      </w:pPr>
      <w:r>
        <w:rPr/>
      </w:r>
    </w:p>
    <w:p>
      <w:pPr>
        <w:pStyle w:val="Normal"/>
        <w:bidi w:val="0"/>
        <w:spacing w:lineRule="auto" w:line="240" w:before="0" w:after="240"/>
        <w:jc w:val="both"/>
        <w:rPr>
          <w:rFonts w:ascii="Times New Roman" w:hAnsi="Times New Roman" w:cs="Times New Roman"/>
          <w:b/>
          <w:b/>
          <w:bCs/>
          <w:sz w:val="24"/>
          <w:szCs w:val="24"/>
          <w:u w:val="none"/>
        </w:rPr>
      </w:pPr>
      <w:r>
        <w:rPr>
          <w:rFonts w:cs="Times New Roman" w:ascii="Times New Roman" w:hAnsi="Times New Roman"/>
          <w:b/>
          <w:bCs/>
          <w:sz w:val="24"/>
          <w:szCs w:val="24"/>
          <w:u w:val="none"/>
        </w:rPr>
        <w:t>3. Teil: Freuds Reaktionen auf den Tod seines Vaters</w:t>
      </w:r>
    </w:p>
    <w:p>
      <w:pPr>
        <w:pStyle w:val="Normal"/>
        <w:bidi w:val="0"/>
        <w:spacing w:lineRule="auto" w:line="240" w:before="0" w:after="240"/>
        <w:jc w:val="both"/>
        <w:rPr>
          <w:rFonts w:ascii="Times New Roman" w:hAnsi="Times New Roman" w:cs="Times New Roman"/>
          <w:sz w:val="24"/>
          <w:szCs w:val="24"/>
          <w:u w:val="none"/>
        </w:rPr>
      </w:pPr>
      <w:r>
        <w:rPr>
          <w:rFonts w:cs="Times New Roman" w:ascii="Times New Roman" w:hAnsi="Times New Roman"/>
          <w:sz w:val="24"/>
          <w:szCs w:val="24"/>
          <w:u w:val="none"/>
        </w:rPr>
        <w:t>7. Juni</w:t>
      </w:r>
      <w:r>
        <w:rPr>
          <w:rFonts w:cs="Times New Roman" w:ascii="Times New Roman" w:hAnsi="Times New Roman"/>
          <w:sz w:val="24"/>
          <w:szCs w:val="24"/>
          <w:u w:val="none"/>
        </w:rPr>
        <w:t>: Freuds Beitritt in Loge B‘nai B‘rith</w:t>
      </w:r>
    </w:p>
    <w:p>
      <w:pPr>
        <w:pStyle w:val="Normal"/>
        <w:bidi w:val="0"/>
        <w:spacing w:lineRule="auto" w:line="240" w:before="0" w:after="240"/>
        <w:jc w:val="both"/>
        <w:rPr>
          <w:rFonts w:ascii="Times New Roman" w:hAnsi="Times New Roman" w:cs="Times New Roman"/>
          <w:sz w:val="24"/>
          <w:szCs w:val="24"/>
          <w:u w:val="none"/>
        </w:rPr>
      </w:pPr>
      <w:r>
        <w:rPr>
          <w:rFonts w:cs="Times New Roman" w:ascii="Times New Roman" w:hAnsi="Times New Roman"/>
          <w:sz w:val="24"/>
          <w:szCs w:val="24"/>
          <w:u w:val="none"/>
        </w:rPr>
        <w:t>1</w:t>
      </w:r>
      <w:r>
        <w:rPr>
          <w:rFonts w:cs="Times New Roman" w:ascii="Times New Roman" w:hAnsi="Times New Roman"/>
          <w:sz w:val="24"/>
          <w:szCs w:val="24"/>
          <w:u w:val="none"/>
        </w:rPr>
        <w:t>4. Juni</w:t>
      </w:r>
      <w:r>
        <w:rPr>
          <w:rFonts w:cs="Times New Roman" w:ascii="Times New Roman" w:hAnsi="Times New Roman"/>
          <w:sz w:val="24"/>
          <w:szCs w:val="24"/>
          <w:u w:val="none"/>
        </w:rPr>
        <w:t>: Freuds Antikensammlung</w:t>
      </w:r>
    </w:p>
    <w:p>
      <w:pPr>
        <w:pStyle w:val="Normal"/>
        <w:bidi w:val="0"/>
        <w:spacing w:lineRule="auto" w:line="240" w:before="0" w:after="0"/>
        <w:ind w:start="709" w:end="0" w:hanging="709"/>
        <w:jc w:val="both"/>
        <w:rPr>
          <w:rFonts w:ascii="Times New Roman" w:hAnsi="Times New Roman" w:cs="Times New Roman"/>
          <w:sz w:val="24"/>
          <w:szCs w:val="24"/>
          <w:u w:val="none"/>
        </w:rPr>
      </w:pPr>
      <w:r>
        <w:rPr>
          <w:rFonts w:cs="Times New Roman" w:ascii="Times New Roman" w:hAnsi="Times New Roman"/>
          <w:sz w:val="24"/>
          <w:szCs w:val="24"/>
          <w:u w:val="none"/>
        </w:rPr>
      </w:r>
    </w:p>
    <w:p>
      <w:pPr>
        <w:pStyle w:val="Normal"/>
        <w:bidi w:val="0"/>
        <w:spacing w:lineRule="auto" w:line="240" w:before="0" w:after="240"/>
        <w:jc w:val="both"/>
        <w:rPr>
          <w:rFonts w:ascii="Times New Roman" w:hAnsi="Times New Roman" w:cs="Times New Roman"/>
          <w:b/>
          <w:b/>
          <w:bCs/>
          <w:sz w:val="24"/>
          <w:szCs w:val="24"/>
          <w:u w:val="none"/>
        </w:rPr>
      </w:pPr>
      <w:r>
        <w:rPr>
          <w:rFonts w:cs="Times New Roman" w:ascii="Times New Roman" w:hAnsi="Times New Roman"/>
          <w:b/>
          <w:bCs/>
          <w:sz w:val="24"/>
          <w:szCs w:val="24"/>
          <w:u w:val="none"/>
        </w:rPr>
        <w:t>4. Teil: Träume in der Traumdeutung mit Anspielungen auf die Bibel</w:t>
      </w:r>
    </w:p>
    <w:p>
      <w:pPr>
        <w:pStyle w:val="Normal"/>
        <w:bidi w:val="0"/>
        <w:spacing w:lineRule="auto" w:line="240" w:before="0" w:after="240"/>
        <w:jc w:val="both"/>
        <w:rPr/>
      </w:pPr>
      <w:r>
        <w:rPr>
          <w:rFonts w:cs="Times New Roman" w:ascii="Times New Roman" w:hAnsi="Times New Roman"/>
          <w:sz w:val="24"/>
          <w:szCs w:val="24"/>
          <w:u w:val="none"/>
        </w:rPr>
        <w:t>21. und 28. Juni</w:t>
      </w:r>
      <w:r>
        <w:rPr>
          <w:rFonts w:cs="Times New Roman" w:ascii="Times New Roman" w:hAnsi="Times New Roman"/>
          <w:sz w:val="24"/>
          <w:szCs w:val="24"/>
          <w:u w:val="none"/>
        </w:rPr>
        <w:t>: Das Schreiben der Traumdeutung als Reaktion auf den Tod des Vaters und Lektüre ausgewählter Träume</w:t>
      </w:r>
    </w:p>
    <w:p>
      <w:pPr>
        <w:pStyle w:val="Normal"/>
        <w:bidi w:val="0"/>
        <w:spacing w:lineRule="auto" w:line="240" w:before="0" w:after="240"/>
        <w:jc w:val="both"/>
        <w:rPr>
          <w:rFonts w:ascii="Times New Roman" w:hAnsi="Times New Roman" w:cs="Times New Roman"/>
          <w:b/>
          <w:b/>
          <w:bCs/>
          <w:sz w:val="24"/>
          <w:szCs w:val="24"/>
          <w:u w:val="none"/>
        </w:rPr>
      </w:pPr>
      <w:r>
        <w:rPr>
          <w:rFonts w:cs="Times New Roman" w:ascii="Times New Roman" w:hAnsi="Times New Roman"/>
          <w:b/>
          <w:bCs/>
          <w:sz w:val="24"/>
          <w:szCs w:val="24"/>
          <w:u w:val="none"/>
        </w:rPr>
      </w:r>
    </w:p>
    <w:p>
      <w:pPr>
        <w:pStyle w:val="Normal"/>
        <w:bidi w:val="0"/>
        <w:spacing w:lineRule="auto" w:line="240" w:before="0" w:after="240"/>
        <w:jc w:val="both"/>
        <w:rPr>
          <w:rFonts w:ascii="Times New Roman" w:hAnsi="Times New Roman" w:cs="Times New Roman"/>
          <w:b/>
          <w:b/>
          <w:bCs/>
          <w:sz w:val="24"/>
          <w:szCs w:val="24"/>
          <w:u w:val="none"/>
        </w:rPr>
      </w:pPr>
      <w:r>
        <w:rPr>
          <w:rFonts w:cs="Times New Roman" w:ascii="Times New Roman" w:hAnsi="Times New Roman"/>
          <w:b/>
          <w:bCs/>
          <w:sz w:val="24"/>
          <w:szCs w:val="24"/>
          <w:u w:val="none"/>
        </w:rPr>
        <w:t>5. Teil: Ludwig Philippsons Bibelwerk im Kontext der Kultur der deutsch-jüdischen Bibelübersetzungen</w:t>
      </w:r>
    </w:p>
    <w:p>
      <w:pPr>
        <w:pStyle w:val="Normal"/>
        <w:bidi w:val="0"/>
        <w:spacing w:lineRule="auto" w:line="240" w:before="0" w:after="240"/>
        <w:jc w:val="both"/>
        <w:rPr>
          <w:rFonts w:ascii="Times New Roman" w:hAnsi="Times New Roman" w:cs="Times New Roman"/>
          <w:sz w:val="24"/>
          <w:szCs w:val="24"/>
          <w:u w:val="none"/>
        </w:rPr>
      </w:pPr>
      <w:r>
        <w:rPr>
          <w:rFonts w:cs="Times New Roman" w:ascii="Times New Roman" w:hAnsi="Times New Roman"/>
          <w:sz w:val="24"/>
          <w:szCs w:val="24"/>
          <w:u w:val="none"/>
        </w:rPr>
        <w:t>5. Juli</w:t>
      </w:r>
      <w:r>
        <w:rPr>
          <w:rFonts w:cs="Times New Roman" w:ascii="Times New Roman" w:hAnsi="Times New Roman"/>
          <w:sz w:val="24"/>
          <w:szCs w:val="24"/>
          <w:u w:val="none"/>
        </w:rPr>
        <w:t xml:space="preserve"> Vortrag und Diskussion zum Thema</w:t>
      </w:r>
    </w:p>
    <w:p>
      <w:pPr>
        <w:pStyle w:val="Normal"/>
        <w:bidi w:val="0"/>
        <w:spacing w:lineRule="auto" w:line="240" w:before="0" w:after="240"/>
        <w:jc w:val="both"/>
        <w:rPr>
          <w:rFonts w:ascii="Times New Roman" w:hAnsi="Times New Roman" w:cs="Times New Roman"/>
          <w:sz w:val="24"/>
          <w:szCs w:val="24"/>
          <w:u w:val="none"/>
        </w:rPr>
      </w:pPr>
      <w:r>
        <w:rPr>
          <w:rFonts w:cs="Times New Roman" w:ascii="Times New Roman" w:hAnsi="Times New Roman"/>
          <w:sz w:val="24"/>
          <w:szCs w:val="24"/>
          <w:u w:val="none"/>
        </w:rPr>
      </w:r>
    </w:p>
    <w:p>
      <w:pPr>
        <w:pStyle w:val="Normal"/>
        <w:bidi w:val="0"/>
        <w:spacing w:lineRule="auto" w:line="240" w:before="0" w:after="240"/>
        <w:jc w:val="both"/>
        <w:rPr>
          <w:rFonts w:ascii="Times New Roman" w:hAnsi="Times New Roman" w:cs="Times New Roman"/>
          <w:b/>
          <w:b/>
          <w:bCs/>
          <w:sz w:val="24"/>
          <w:szCs w:val="24"/>
          <w:u w:val="none"/>
        </w:rPr>
      </w:pPr>
      <w:r>
        <w:rPr>
          <w:rFonts w:cs="Times New Roman" w:ascii="Times New Roman" w:hAnsi="Times New Roman"/>
          <w:b/>
          <w:bCs/>
          <w:sz w:val="24"/>
          <w:szCs w:val="24"/>
          <w:u w:val="none"/>
        </w:rPr>
        <w:t>6. Teil: Die Bibel in Freuds Spätwerk Der Mann Moses und die monotheistische Religion</w:t>
      </w:r>
    </w:p>
    <w:p>
      <w:pPr>
        <w:pStyle w:val="Normal"/>
        <w:bidi w:val="0"/>
        <w:spacing w:lineRule="auto" w:line="240" w:before="0" w:after="240"/>
        <w:jc w:val="both"/>
        <w:rPr>
          <w:rFonts w:ascii="Times New Roman" w:hAnsi="Times New Roman" w:cs="Times New Roman"/>
          <w:sz w:val="24"/>
          <w:szCs w:val="24"/>
          <w:u w:val="none"/>
        </w:rPr>
      </w:pPr>
      <w:r>
        <w:rPr>
          <w:rFonts w:cs="Times New Roman" w:ascii="Times New Roman" w:hAnsi="Times New Roman"/>
          <w:sz w:val="24"/>
          <w:szCs w:val="24"/>
          <w:u w:val="none"/>
        </w:rPr>
        <w:t>1</w:t>
      </w:r>
      <w:r>
        <w:rPr>
          <w:rFonts w:cs="Times New Roman" w:ascii="Times New Roman" w:hAnsi="Times New Roman"/>
          <w:sz w:val="24"/>
          <w:szCs w:val="24"/>
          <w:u w:val="none"/>
        </w:rPr>
        <w:t>2. Juli</w:t>
      </w:r>
      <w:r>
        <w:rPr>
          <w:rFonts w:cs="Times New Roman" w:ascii="Times New Roman" w:hAnsi="Times New Roman"/>
          <w:sz w:val="24"/>
          <w:szCs w:val="24"/>
          <w:u w:val="none"/>
        </w:rPr>
        <w:t>: Gemeinsame Lektüre ausgewählter Stellen aus der Arbeit</w:t>
      </w:r>
    </w:p>
    <w:p>
      <w:pPr>
        <w:pStyle w:val="Normal"/>
        <w:bidi w:val="0"/>
        <w:spacing w:lineRule="auto" w:line="240" w:before="0" w:after="240"/>
        <w:jc w:val="both"/>
        <w:rPr/>
      </w:pPr>
      <w:r>
        <w:rPr>
          <w:rFonts w:cs="Times New Roman" w:ascii="Times New Roman" w:hAnsi="Times New Roman"/>
          <w:sz w:val="24"/>
          <w:szCs w:val="24"/>
          <w:u w:val="none"/>
        </w:rPr>
        <w:t>19. Juli</w:t>
      </w:r>
      <w:r>
        <w:rPr>
          <w:rFonts w:cs="Times New Roman" w:ascii="Times New Roman" w:hAnsi="Times New Roman"/>
          <w:sz w:val="24"/>
          <w:szCs w:val="24"/>
          <w:u w:val="none"/>
        </w:rPr>
        <w:t>: Fortsetzung und Seminarabschluss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character" w:styleId="AbsatzStandardschriftart">
    <w:name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160</TotalTime>
  <Application>LibreOffice/7.4.5.1$Windows_X86_64 LibreOffice_project/9c0871452b3918c1019dde9bfac75448afc4b57f</Application>
  <AppVersion>15.0000</AppVersion>
  <Pages>2</Pages>
  <Words>417</Words>
  <Characters>2590</Characters>
  <CharactersWithSpaces>2989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2024-03-12T11:00:18Z</dcterms:created>
  <dc:creator/>
  <dc:description/>
  <dc:language>de-DE</dc:language>
  <cp:lastModifiedBy/>
  <dcterms:modified xsi:type="dcterms:W3CDTF">2024-03-12T13:40:42Z</dcterms:modified>
  <cp:revision>2</cp:revision>
  <dc:subject/>
  <dc:title/>
</cp:coreProperties>
</file>